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1" w:rsidRDefault="00C65EA1" w:rsidP="00C65EA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1125" cy="1009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A1" w:rsidRDefault="00C65EA1" w:rsidP="00C65EA1">
      <w:pPr>
        <w:jc w:val="center"/>
        <w:rPr>
          <w:rFonts w:ascii="Arial" w:hAnsi="Arial" w:cs="Arial"/>
        </w:rPr>
      </w:pPr>
    </w:p>
    <w:p w:rsidR="00C65EA1" w:rsidRDefault="00C65EA1" w:rsidP="00C65E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Asociace pro rozvoj kolektivního vyjednávání a pracovních vztahů</w:t>
      </w:r>
    </w:p>
    <w:p w:rsidR="00C65EA1" w:rsidRDefault="00C65EA1" w:rsidP="00C65E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nám. W. Churchilla 2</w:t>
      </w:r>
    </w:p>
    <w:p w:rsidR="00C65EA1" w:rsidRDefault="00C65EA1" w:rsidP="00C65EA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113 59 Praha 3</w:t>
      </w:r>
    </w:p>
    <w:p w:rsidR="00C65EA1" w:rsidRDefault="00C65EA1" w:rsidP="00C65EA1">
      <w:pPr>
        <w:jc w:val="center"/>
        <w:rPr>
          <w:rFonts w:ascii="Arial" w:hAnsi="Arial" w:cs="Arial"/>
        </w:rPr>
      </w:pPr>
    </w:p>
    <w:p w:rsidR="00C65EA1" w:rsidRDefault="00C65EA1" w:rsidP="00C65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Prof. JUDr. Helena Válková, CSc.</w:t>
      </w:r>
    </w:p>
    <w:p w:rsidR="00C65EA1" w:rsidRDefault="00C65EA1" w:rsidP="00C65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ministryně spravedlnosti ČR</w:t>
      </w:r>
    </w:p>
    <w:p w:rsidR="00C65EA1" w:rsidRDefault="00C65EA1" w:rsidP="00C65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Default="00C65EA1" w:rsidP="00C65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Praze dne </w:t>
      </w:r>
      <w:r w:rsidR="002D4B67">
        <w:rPr>
          <w:rFonts w:ascii="Arial" w:hAnsi="Arial" w:cs="Arial"/>
        </w:rPr>
        <w:t>1</w:t>
      </w:r>
      <w:r>
        <w:rPr>
          <w:rFonts w:ascii="Arial" w:hAnsi="Arial" w:cs="Arial"/>
        </w:rPr>
        <w:t>8. 8. 2014</w:t>
      </w: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Default="00C65EA1" w:rsidP="00C65EA1">
      <w:pPr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Věc: </w:t>
      </w:r>
      <w:r>
        <w:rPr>
          <w:rFonts w:ascii="Arial" w:hAnsi="Arial" w:cs="Arial"/>
          <w:b/>
          <w:u w:val="single"/>
        </w:rPr>
        <w:t>Návrh na změny zákona č. 182/2006 Sb., o úpadku a způsobech jeho řešení (insolvenční zákon), ve znění pozdějších předpisů</w:t>
      </w:r>
    </w:p>
    <w:p w:rsidR="00C65EA1" w:rsidRDefault="00C65EA1" w:rsidP="00C65EA1">
      <w:pPr>
        <w:ind w:left="567" w:hanging="567"/>
        <w:jc w:val="both"/>
        <w:rPr>
          <w:rFonts w:ascii="Arial" w:hAnsi="Arial" w:cs="Arial"/>
          <w:b/>
          <w:u w:val="single"/>
        </w:rPr>
      </w:pPr>
    </w:p>
    <w:p w:rsidR="00C65EA1" w:rsidRDefault="00C65EA1" w:rsidP="00C65EA1">
      <w:pPr>
        <w:ind w:left="567" w:hanging="567"/>
        <w:jc w:val="both"/>
        <w:rPr>
          <w:rFonts w:ascii="Arial" w:hAnsi="Arial" w:cs="Arial"/>
          <w:b/>
          <w:u w:val="single"/>
        </w:rPr>
      </w:pPr>
    </w:p>
    <w:p w:rsidR="00C65EA1" w:rsidRDefault="00C65EA1" w:rsidP="00C65EA1">
      <w:pPr>
        <w:ind w:left="567" w:hanging="567"/>
        <w:jc w:val="both"/>
        <w:rPr>
          <w:rFonts w:ascii="Arial" w:hAnsi="Arial" w:cs="Arial"/>
          <w:b/>
          <w:u w:val="single"/>
        </w:rPr>
      </w:pPr>
    </w:p>
    <w:p w:rsidR="00C65EA1" w:rsidRDefault="00C65EA1" w:rsidP="00C65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paní ministryně,</w:t>
      </w: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Default="00C65EA1" w:rsidP="00C65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připravované novely insolvenčního zákona doporučujeme zařadit následující změny, které vycházejí z našich dosavadních zkušeností s jeho uplatňováním u zaměstnavatelů, zejména při oddlužení zaměstnanců.</w:t>
      </w: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Pr="00C65EA1" w:rsidRDefault="00C65EA1" w:rsidP="00C65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Navrhujeme následující:</w:t>
      </w:r>
    </w:p>
    <w:p w:rsidR="00C65EA1" w:rsidRDefault="00C65EA1" w:rsidP="00C65EA1">
      <w:pPr>
        <w:jc w:val="both"/>
        <w:rPr>
          <w:rFonts w:ascii="Arial" w:hAnsi="Arial" w:cs="Arial"/>
        </w:rPr>
      </w:pPr>
    </w:p>
    <w:p w:rsidR="00C65EA1" w:rsidRDefault="00C65EA1" w:rsidP="00C65E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Ačkoliv zákon výslovně neřeší </w:t>
      </w:r>
      <w:r w:rsidRPr="0064478B">
        <w:rPr>
          <w:rFonts w:ascii="Arial" w:hAnsi="Arial" w:cs="Arial"/>
          <w:b/>
        </w:rPr>
        <w:t>součinnost plátců mzdy</w:t>
      </w:r>
      <w:r>
        <w:rPr>
          <w:rFonts w:ascii="Arial" w:hAnsi="Arial" w:cs="Arial"/>
        </w:rPr>
        <w:t xml:space="preserve">, je </w:t>
      </w:r>
      <w:r w:rsidR="006865E7">
        <w:rPr>
          <w:rFonts w:ascii="Arial" w:hAnsi="Arial" w:cs="Arial"/>
        </w:rPr>
        <w:t xml:space="preserve">ta </w:t>
      </w:r>
      <w:r>
        <w:rPr>
          <w:rFonts w:ascii="Arial" w:hAnsi="Arial" w:cs="Arial"/>
        </w:rPr>
        <w:t xml:space="preserve">ze strany insolvenčních správců vyžadována bez zvláštní zákonné opory, s poukazem na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7 IZ a § 128 OSŘ. Na tomto základě rozhodl např. Krajský soud v Ostravě usnesením pod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(č. j.) KSOS 25 INS 5661/2012 – B6 ze dne 1. 8. 2012 o povinnosti plátce mzdy (OKD Ostrava) zasílat insolvenčnímu správci výplatní pásky. Je proto účelné samostatným ustanovením IZ (zřejmě v návaznosti na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44) uvést povinnost součinnosti plátců mzdy vůči insolvenčnímu správci, a to velmi úsporně tak, aby zaměstnavatelé byli jen úměrně zatěžováni.</w:t>
      </w:r>
    </w:p>
    <w:p w:rsidR="00C65EA1" w:rsidRDefault="00C65EA1" w:rsidP="00C65EA1">
      <w:pPr>
        <w:pStyle w:val="Odstavecseseznamem"/>
        <w:ind w:left="360"/>
        <w:jc w:val="both"/>
        <w:rPr>
          <w:rFonts w:ascii="Arial" w:hAnsi="Arial" w:cs="Arial"/>
        </w:rPr>
      </w:pPr>
    </w:p>
    <w:p w:rsidR="00C65EA1" w:rsidRDefault="00C65EA1" w:rsidP="00C65E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Závažným problémem je doručování plátc</w:t>
      </w:r>
      <w:r w:rsidR="006865E7">
        <w:rPr>
          <w:rFonts w:ascii="Arial" w:hAnsi="Arial" w:cs="Arial"/>
        </w:rPr>
        <w:t>ům</w:t>
      </w:r>
      <w:r>
        <w:rPr>
          <w:rFonts w:ascii="Arial" w:hAnsi="Arial" w:cs="Arial"/>
        </w:rPr>
        <w:t xml:space="preserve"> mzdy. </w:t>
      </w:r>
      <w:r w:rsidR="006865E7">
        <w:rPr>
          <w:rFonts w:ascii="Arial" w:hAnsi="Arial" w:cs="Arial"/>
        </w:rPr>
        <w:t>Částí odborníků j</w:t>
      </w:r>
      <w:r>
        <w:rPr>
          <w:rFonts w:ascii="Arial" w:hAnsi="Arial" w:cs="Arial"/>
        </w:rPr>
        <w:t xml:space="preserve">e zastáván názor, že plátci mzdy jsou povinni sledovat insolvenční rejstřík, zejména ke zjištění zahájení insolvenčního řízení na návrh některého zaměstnance, </w:t>
      </w:r>
      <w:proofErr w:type="gramStart"/>
      <w:r w:rsidR="006865E7">
        <w:rPr>
          <w:rFonts w:ascii="Arial" w:hAnsi="Arial" w:cs="Arial"/>
        </w:rPr>
        <w:t>tzn. že</w:t>
      </w:r>
      <w:proofErr w:type="gramEnd"/>
      <w:r w:rsidR="00686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plátce mzdy – zpravidla zaměstnavatel sám povinen </w:t>
      </w:r>
      <w:r w:rsidR="006865E7">
        <w:rPr>
          <w:rFonts w:ascii="Arial" w:hAnsi="Arial" w:cs="Arial"/>
        </w:rPr>
        <w:t xml:space="preserve">tuto skutečnost </w:t>
      </w:r>
      <w:r>
        <w:rPr>
          <w:rFonts w:ascii="Arial" w:hAnsi="Arial" w:cs="Arial"/>
        </w:rPr>
        <w:t xml:space="preserve">zjistit z insolvenčního rejstříku a dále postupovat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109 odst. 1, resp. 2 IZ. Pro takové tvrzení však není v zákoně opora. Sotva lze požadovat po malých </w:t>
      </w:r>
      <w:r>
        <w:rPr>
          <w:rFonts w:ascii="Arial" w:hAnsi="Arial" w:cs="Arial"/>
        </w:rPr>
        <w:lastRenderedPageBreak/>
        <w:t>firmách, aby sledovaly průběžně insolvenční rejstřík nebo si pořizovaly drahé sledovací programy.</w:t>
      </w:r>
    </w:p>
    <w:p w:rsidR="00923921" w:rsidRPr="00923921" w:rsidRDefault="00923921" w:rsidP="00923921">
      <w:pPr>
        <w:pStyle w:val="Odstavecseseznamem"/>
        <w:rPr>
          <w:rFonts w:ascii="Arial" w:hAnsi="Arial" w:cs="Arial"/>
        </w:rPr>
      </w:pPr>
    </w:p>
    <w:p w:rsidR="00923921" w:rsidRPr="00923921" w:rsidRDefault="00923921" w:rsidP="00923921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Vůči plátcům mzdy je účelné uplatnit pro všechny účely </w:t>
      </w:r>
      <w:r>
        <w:rPr>
          <w:rFonts w:ascii="Arial" w:hAnsi="Arial" w:cs="Arial"/>
          <w:b/>
        </w:rPr>
        <w:t>zvláštní způsob doručení</w:t>
      </w:r>
      <w:r>
        <w:rPr>
          <w:rFonts w:ascii="Arial" w:hAnsi="Arial" w:cs="Arial"/>
        </w:rPr>
        <w:t xml:space="preserve"> (§ 75 IZ) tak, jak je výslovně upraven v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406 odst. 5 IZ, </w:t>
      </w:r>
      <w:r w:rsidR="006865E7">
        <w:rPr>
          <w:rFonts w:ascii="Arial" w:hAnsi="Arial" w:cs="Arial"/>
        </w:rPr>
        <w:t>a to</w:t>
      </w:r>
      <w:r>
        <w:rPr>
          <w:rFonts w:ascii="Arial" w:hAnsi="Arial" w:cs="Arial"/>
        </w:rPr>
        <w:t xml:space="preserve"> včetně oznámení o zahájení insolvenčního řízení. To platí i o rozhodnutí o splnění oddlužení (§ 413 IZ) a o osvobození dlužníka od placení pohledávek (§ 414 IZ).</w:t>
      </w:r>
    </w:p>
    <w:p w:rsidR="00C65EA1" w:rsidRPr="00C65EA1" w:rsidRDefault="00C65EA1" w:rsidP="00C65EA1">
      <w:pPr>
        <w:pStyle w:val="Odstavecseseznamem"/>
        <w:rPr>
          <w:rFonts w:ascii="Arial" w:hAnsi="Arial" w:cs="Arial"/>
        </w:rPr>
      </w:pPr>
    </w:p>
    <w:p w:rsidR="00C65EA1" w:rsidRDefault="00923921" w:rsidP="00C65E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Problémem je, jak má plátce mzdy postupovat po zahájení insolvenčního řízení ve vztahu k probíhajícím výkonům rozhodnutí či exekucím. K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109 odst. 1 </w:t>
      </w:r>
      <w:proofErr w:type="gramStart"/>
      <w:r>
        <w:rPr>
          <w:rFonts w:ascii="Arial" w:hAnsi="Arial" w:cs="Arial"/>
        </w:rPr>
        <w:t>písm. c)</w:t>
      </w:r>
      <w:r w:rsidR="00D53FC2">
        <w:rPr>
          <w:rFonts w:ascii="Arial" w:hAnsi="Arial" w:cs="Arial"/>
        </w:rPr>
        <w:t xml:space="preserve"> (po</w:t>
      </w:r>
      <w:proofErr w:type="gramEnd"/>
      <w:r w:rsidR="00D53FC2">
        <w:rPr>
          <w:rFonts w:ascii="Arial" w:hAnsi="Arial" w:cs="Arial"/>
        </w:rPr>
        <w:t xml:space="preserve"> zahájení insolvenčního řízení lze výkon rozhodnutí či exekuci nařídit nebo zahájit, nelze ji však provést)</w:t>
      </w:r>
      <w:r>
        <w:rPr>
          <w:rFonts w:ascii="Arial" w:hAnsi="Arial" w:cs="Arial"/>
        </w:rPr>
        <w:t xml:space="preserve"> je uplatňován dvojí výklad.</w:t>
      </w:r>
      <w:r w:rsidR="00D53FC2">
        <w:rPr>
          <w:rFonts w:ascii="Arial" w:hAnsi="Arial" w:cs="Arial"/>
        </w:rPr>
        <w:t xml:space="preserve"> Jednak že je třeba zcela tyto exekuční srážky přestat provádět a mzdu nepostiženou srážkami tak vyplácet dlužníkovi, jednak</w:t>
      </w:r>
      <w:r w:rsidR="002D4B67">
        <w:rPr>
          <w:rFonts w:ascii="Arial" w:hAnsi="Arial" w:cs="Arial"/>
        </w:rPr>
        <w:t xml:space="preserve"> že je třeba nadále srážet, ale sražené částky zatím u plátce mzdy deponovat. Je třeba říci, že pro mzdové účtárny je nepřijatelné, aby nebylo přesně stanoveno, jak je nezbytné postupovat, respektive aby se musely s jednotlivými soudními exekutory o této věci domlouvat. Novela zákona provedená zákonem č. 294/2013 Sb. problém vyřešila jen částečně tím, že stanovila, že úkonem, jímž se provádí výkon rozhodnutí nebo exekuce, není úkon učiněný k zajištění dlužníkova majetku pro účely jeho postižení takovým výkonem rozhodnutí nebo exekucí. Není tím však dáno, že plátce mzdy takto musí postupovat. Podle našeho názoru je třeba v </w:t>
      </w:r>
      <w:proofErr w:type="spellStart"/>
      <w:r w:rsidR="002D4B67">
        <w:rPr>
          <w:rFonts w:ascii="Arial" w:hAnsi="Arial" w:cs="Arial"/>
        </w:rPr>
        <w:t>ust</w:t>
      </w:r>
      <w:proofErr w:type="spellEnd"/>
      <w:r w:rsidR="002D4B67">
        <w:rPr>
          <w:rFonts w:ascii="Arial" w:hAnsi="Arial" w:cs="Arial"/>
        </w:rPr>
        <w:t xml:space="preserve">. § 109 odst. 2 doplnit, že </w:t>
      </w:r>
      <w:r w:rsidR="002D4B67">
        <w:rPr>
          <w:rFonts w:ascii="Arial" w:hAnsi="Arial" w:cs="Arial"/>
          <w:b/>
        </w:rPr>
        <w:t>plátce mzdy, jakmile se dozví o zahájení insolvenčního řízení, je povinen nadále srážky ze mzdy provádět k zajištění dlužníkova majetku</w:t>
      </w:r>
      <w:r w:rsidR="006865E7">
        <w:rPr>
          <w:rFonts w:ascii="Arial" w:hAnsi="Arial" w:cs="Arial"/>
          <w:b/>
        </w:rPr>
        <w:t xml:space="preserve"> </w:t>
      </w:r>
      <w:r w:rsidR="006865E7">
        <w:rPr>
          <w:rFonts w:ascii="Arial" w:hAnsi="Arial" w:cs="Arial"/>
        </w:rPr>
        <w:t xml:space="preserve">(tj. </w:t>
      </w:r>
      <w:r w:rsidR="0064478B">
        <w:rPr>
          <w:rFonts w:ascii="Arial" w:hAnsi="Arial" w:cs="Arial"/>
        </w:rPr>
        <w:t xml:space="preserve">sražené částky </w:t>
      </w:r>
      <w:r w:rsidR="006865E7">
        <w:rPr>
          <w:rFonts w:ascii="Arial" w:hAnsi="Arial" w:cs="Arial"/>
        </w:rPr>
        <w:t>deponovat)</w:t>
      </w:r>
      <w:r w:rsidR="002D4B67">
        <w:rPr>
          <w:rFonts w:ascii="Arial" w:hAnsi="Arial" w:cs="Arial"/>
          <w:b/>
        </w:rPr>
        <w:t>.</w:t>
      </w:r>
      <w:r w:rsidR="002D4B67">
        <w:rPr>
          <w:rFonts w:ascii="Arial" w:hAnsi="Arial" w:cs="Arial"/>
        </w:rPr>
        <w:t xml:space="preserve"> Dále by mělo být stanoveno, že </w:t>
      </w:r>
      <w:r w:rsidR="002D4B67" w:rsidRPr="002D4B67">
        <w:rPr>
          <w:rFonts w:ascii="Arial" w:hAnsi="Arial" w:cs="Arial"/>
          <w:b/>
        </w:rPr>
        <w:t>pokud bude soudem rozhodnuto o způsobu řešení úpadku, přísluší takto zajištěné peněžité částky insolvenčnímu správci</w:t>
      </w:r>
      <w:r w:rsidR="002D4B67">
        <w:rPr>
          <w:rFonts w:ascii="Arial" w:hAnsi="Arial" w:cs="Arial"/>
        </w:rPr>
        <w:t xml:space="preserve">. I tato otázka je nyní řešena pouhým výkladem. Nejasná </w:t>
      </w:r>
      <w:r w:rsidR="0064478B">
        <w:rPr>
          <w:rFonts w:ascii="Arial" w:hAnsi="Arial" w:cs="Arial"/>
        </w:rPr>
        <w:t xml:space="preserve">a nejednoznačná </w:t>
      </w:r>
      <w:r w:rsidR="002D4B67">
        <w:rPr>
          <w:rFonts w:ascii="Arial" w:hAnsi="Arial" w:cs="Arial"/>
        </w:rPr>
        <w:t>právní úprava velmi obtěžuje zaměstnavatele – plátce mzdy, zejména jejich mzdové účtárny.</w:t>
      </w:r>
    </w:p>
    <w:p w:rsidR="00D53FC2" w:rsidRDefault="00D53FC2" w:rsidP="00D53FC2">
      <w:pPr>
        <w:pStyle w:val="Odstavecseseznamem"/>
        <w:ind w:left="360"/>
        <w:jc w:val="both"/>
        <w:rPr>
          <w:rFonts w:ascii="Arial" w:hAnsi="Arial" w:cs="Arial"/>
        </w:rPr>
      </w:pPr>
    </w:p>
    <w:p w:rsidR="00D53FC2" w:rsidRDefault="002D4B67" w:rsidP="00C65E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Již uvedený zákon č. 294/2013 Sb. doplnil do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109 odst. 1 nové písmeno d), které stanoví, že se zahájením insolvenčního řízení se spojuje účinek, že nelze uplat</w:t>
      </w:r>
      <w:r w:rsidR="0064478B">
        <w:rPr>
          <w:rFonts w:ascii="Arial" w:hAnsi="Arial" w:cs="Arial"/>
        </w:rPr>
        <w:t>nit dohodou věřitele a dlužníka</w:t>
      </w:r>
      <w:r>
        <w:rPr>
          <w:rFonts w:ascii="Arial" w:hAnsi="Arial" w:cs="Arial"/>
        </w:rPr>
        <w:t xml:space="preserve"> založené právo na výplatu srážek ze mzdy nebo jiných příjmů, s nimiž se při výkonu rozhodnutí nakládá jako se mzdou </w:t>
      </w:r>
      <w:r w:rsidR="0064478B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platem. Tím bylo zakázáno v době od zahájení insolvenčního řízení provádět například srážky pro účely </w:t>
      </w:r>
      <w:r w:rsidRPr="0064478B">
        <w:rPr>
          <w:rFonts w:ascii="Arial" w:hAnsi="Arial" w:cs="Arial"/>
          <w:b/>
        </w:rPr>
        <w:t>závodního stravování</w:t>
      </w:r>
      <w:r>
        <w:rPr>
          <w:rFonts w:ascii="Arial" w:hAnsi="Arial" w:cs="Arial"/>
        </w:rPr>
        <w:t xml:space="preserve"> nebo </w:t>
      </w:r>
      <w:r w:rsidR="0064478B" w:rsidRPr="0064478B">
        <w:rPr>
          <w:rFonts w:ascii="Arial" w:hAnsi="Arial" w:cs="Arial"/>
          <w:b/>
        </w:rPr>
        <w:t xml:space="preserve">úhrady </w:t>
      </w:r>
      <w:r w:rsidRPr="0064478B">
        <w:rPr>
          <w:rFonts w:ascii="Arial" w:hAnsi="Arial" w:cs="Arial"/>
          <w:b/>
        </w:rPr>
        <w:t>členských příspěvků pro odborové organizace</w:t>
      </w:r>
      <w:r w:rsidR="00777720">
        <w:rPr>
          <w:rFonts w:ascii="Arial" w:hAnsi="Arial" w:cs="Arial"/>
        </w:rPr>
        <w:t>. Domníváme se, že tento důsledek není namístě. Změnou uvedeného ustanovení by tak měla být umožněna výjimka pro tyto dva účely, a to jak ve fázi od zahájení insolvenčního řízení, tak i ve fázi od rozhodnutí soudu o způsobu řešení úpadku. V těchto případech nejde o dlužné částky</w:t>
      </w:r>
      <w:r w:rsidR="0064478B">
        <w:rPr>
          <w:rFonts w:ascii="Arial" w:hAnsi="Arial" w:cs="Arial"/>
        </w:rPr>
        <w:t xml:space="preserve"> z minula</w:t>
      </w:r>
      <w:r w:rsidR="00777720">
        <w:rPr>
          <w:rFonts w:ascii="Arial" w:hAnsi="Arial" w:cs="Arial"/>
        </w:rPr>
        <w:t>, ale o průběžně srážené platby.</w:t>
      </w:r>
    </w:p>
    <w:p w:rsidR="00923921" w:rsidRPr="00923921" w:rsidRDefault="00923921" w:rsidP="00923921">
      <w:pPr>
        <w:pStyle w:val="Odstavecseseznamem"/>
        <w:rPr>
          <w:rFonts w:ascii="Arial" w:hAnsi="Arial" w:cs="Arial"/>
        </w:rPr>
      </w:pPr>
    </w:p>
    <w:p w:rsidR="00923921" w:rsidRDefault="00923921" w:rsidP="00777720">
      <w:pPr>
        <w:pStyle w:val="Odstavecseseznamem"/>
        <w:ind w:left="360"/>
        <w:jc w:val="both"/>
        <w:rPr>
          <w:rFonts w:ascii="Arial" w:hAnsi="Arial" w:cs="Arial"/>
        </w:rPr>
      </w:pPr>
    </w:p>
    <w:p w:rsidR="00777720" w:rsidRDefault="00777720" w:rsidP="00777720">
      <w:pPr>
        <w:pStyle w:val="Odstavecseseznamem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Věříme, že k našim návrhům přihlédnete.</w:t>
      </w:r>
    </w:p>
    <w:p w:rsidR="00777720" w:rsidRDefault="00777720" w:rsidP="00777720">
      <w:pPr>
        <w:pStyle w:val="Odstavecseseznamem"/>
        <w:ind w:left="708"/>
        <w:jc w:val="both"/>
        <w:rPr>
          <w:rFonts w:ascii="Arial" w:hAnsi="Arial" w:cs="Arial"/>
        </w:rPr>
      </w:pPr>
    </w:p>
    <w:p w:rsidR="00777720" w:rsidRDefault="00777720" w:rsidP="00777720">
      <w:pPr>
        <w:pStyle w:val="Odstavecseseznamem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777720" w:rsidRDefault="00777720" w:rsidP="00777720">
      <w:pPr>
        <w:pStyle w:val="Odstavecseseznamem"/>
        <w:ind w:left="708"/>
        <w:jc w:val="both"/>
        <w:rPr>
          <w:rFonts w:ascii="Arial" w:hAnsi="Arial" w:cs="Arial"/>
        </w:rPr>
      </w:pPr>
    </w:p>
    <w:p w:rsidR="00777720" w:rsidRDefault="00777720" w:rsidP="00777720">
      <w:pPr>
        <w:pStyle w:val="Odstavecseseznamem"/>
        <w:ind w:left="708"/>
        <w:jc w:val="both"/>
        <w:rPr>
          <w:rFonts w:ascii="Arial" w:hAnsi="Arial" w:cs="Arial"/>
        </w:rPr>
      </w:pPr>
    </w:p>
    <w:p w:rsidR="00777720" w:rsidRDefault="00777720" w:rsidP="00777720">
      <w:pPr>
        <w:pStyle w:val="Odstavecseseznamem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Bořivoj ŠUBRT</w:t>
      </w:r>
    </w:p>
    <w:p w:rsidR="00777720" w:rsidRPr="00C65EA1" w:rsidRDefault="00777720" w:rsidP="00777720">
      <w:pPr>
        <w:pStyle w:val="Odstavecseseznamem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předseda</w:t>
      </w:r>
    </w:p>
    <w:p w:rsidR="00C65EA1" w:rsidRDefault="00C65EA1" w:rsidP="00C65EA1">
      <w:pPr>
        <w:jc w:val="both"/>
        <w:rPr>
          <w:rFonts w:ascii="Arial" w:hAnsi="Arial" w:cs="Arial"/>
        </w:rPr>
      </w:pPr>
      <w:bookmarkStart w:id="0" w:name="_GoBack"/>
      <w:bookmarkEnd w:id="0"/>
    </w:p>
    <w:p w:rsidR="00C65EA1" w:rsidRDefault="00C65EA1" w:rsidP="00C65EA1">
      <w:pPr>
        <w:jc w:val="both"/>
        <w:rPr>
          <w:rFonts w:ascii="Arial" w:hAnsi="Arial" w:cs="Arial"/>
        </w:rPr>
      </w:pPr>
    </w:p>
    <w:p w:rsidR="00904FA2" w:rsidRDefault="00904FA2"/>
    <w:sectPr w:rsidR="00904FA2" w:rsidSect="00C72A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38" w:rsidRDefault="00661438" w:rsidP="00D53FC2">
      <w:r>
        <w:separator/>
      </w:r>
    </w:p>
  </w:endnote>
  <w:endnote w:type="continuationSeparator" w:id="0">
    <w:p w:rsidR="00661438" w:rsidRDefault="00661438" w:rsidP="00D5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654273"/>
      <w:docPartObj>
        <w:docPartGallery w:val="Page Numbers (Bottom of Page)"/>
        <w:docPartUnique/>
      </w:docPartObj>
    </w:sdtPr>
    <w:sdtContent>
      <w:p w:rsidR="00D53FC2" w:rsidRDefault="00C72A91">
        <w:pPr>
          <w:pStyle w:val="Zpat"/>
          <w:jc w:val="center"/>
        </w:pPr>
        <w:r>
          <w:fldChar w:fldCharType="begin"/>
        </w:r>
        <w:r w:rsidR="00D53FC2">
          <w:instrText>PAGE   \* MERGEFORMAT</w:instrText>
        </w:r>
        <w:r>
          <w:fldChar w:fldCharType="separate"/>
        </w:r>
        <w:r w:rsidR="00D80241">
          <w:rPr>
            <w:noProof/>
          </w:rPr>
          <w:t>3</w:t>
        </w:r>
        <w:r>
          <w:fldChar w:fldCharType="end"/>
        </w:r>
      </w:p>
    </w:sdtContent>
  </w:sdt>
  <w:p w:rsidR="00D53FC2" w:rsidRDefault="00D53F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38" w:rsidRDefault="00661438" w:rsidP="00D53FC2">
      <w:r>
        <w:separator/>
      </w:r>
    </w:p>
  </w:footnote>
  <w:footnote w:type="continuationSeparator" w:id="0">
    <w:p w:rsidR="00661438" w:rsidRDefault="00661438" w:rsidP="00D5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814"/>
    <w:multiLevelType w:val="hybridMultilevel"/>
    <w:tmpl w:val="B87ACB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A1"/>
    <w:rsid w:val="001573C3"/>
    <w:rsid w:val="002D4B67"/>
    <w:rsid w:val="0064478B"/>
    <w:rsid w:val="00661438"/>
    <w:rsid w:val="006865E7"/>
    <w:rsid w:val="00777720"/>
    <w:rsid w:val="00904FA2"/>
    <w:rsid w:val="00923921"/>
    <w:rsid w:val="00C65EA1"/>
    <w:rsid w:val="00C72A91"/>
    <w:rsid w:val="00D53FC2"/>
    <w:rsid w:val="00D8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A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EA1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5E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3F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FC2"/>
    <w:rPr>
      <w:rFonts w:ascii="Times New Roman" w:eastAsiaTheme="minorEastAsia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F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FC2"/>
    <w:rPr>
      <w:rFonts w:ascii="Times New Roman" w:eastAsiaTheme="minorEastAsia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A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EA1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5E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3F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FC2"/>
    <w:rPr>
      <w:rFonts w:ascii="Times New Roman" w:eastAsiaTheme="minorEastAsia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F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FC2"/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vojikova</cp:lastModifiedBy>
  <cp:revision>2</cp:revision>
  <dcterms:created xsi:type="dcterms:W3CDTF">2014-08-24T06:51:00Z</dcterms:created>
  <dcterms:modified xsi:type="dcterms:W3CDTF">2014-08-24T06:51:00Z</dcterms:modified>
</cp:coreProperties>
</file>